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120" w:after="120"/>
        <w:jc w:val="end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>
        <w:rPr>
          <w:rFonts w:cs="Tahoma" w:ascii="Tahoma" w:hAnsi="Tahoma"/>
          <w:b/>
          <w:bCs/>
          <w:color w:val="000000"/>
          <w:sz w:val="22"/>
          <w:szCs w:val="22"/>
          <w:lang w:eastAsia="pl-PL"/>
        </w:rPr>
        <w:t>Załącznik nr 1 do zapytania ofertowego</w:t>
      </w:r>
    </w:p>
    <w:p>
      <w:pPr>
        <w:pStyle w:val="Normal"/>
        <w:numPr>
          <w:ilvl w:val="0"/>
          <w:numId w:val="5"/>
        </w:numPr>
        <w:spacing w:lineRule="auto" w:line="240" w:before="240" w:after="360"/>
        <w:rPr>
          <w:rFonts w:ascii="Tahoma" w:hAnsi="Tahoma" w:cs="Tahoma"/>
          <w:b/>
          <w:bCs/>
          <w:color w:val="000000"/>
          <w:lang w:eastAsia="pl-PL"/>
        </w:rPr>
      </w:pPr>
      <w:r>
        <w:rPr>
          <w:rFonts w:cs="Tahoma" w:ascii="Tahoma" w:hAnsi="Tahoma"/>
          <w:b/>
          <w:bCs/>
          <w:color w:val="000000"/>
          <w:lang w:eastAsia="pl-PL"/>
        </w:rPr>
        <w:t>Przeprowadzenie testów socjotechnicznych wraz ze szkoleniem</w:t>
      </w:r>
    </w:p>
    <w:p>
      <w:pPr>
        <w:pStyle w:val="Akapitzlist"/>
        <w:autoSpaceDE w:val="false"/>
        <w:spacing w:before="0" w:after="0"/>
        <w:ind w:start="0" w:end="0"/>
        <w:contextualSpacing/>
        <w:jc w:val="both"/>
        <w:rPr/>
      </w:pPr>
      <w:r>
        <w:rPr>
          <w:rFonts w:eastAsia="Tahoma" w:cs="Tahoma" w:ascii="Tahoma" w:hAnsi="Tahoma"/>
          <w:color w:val="000000"/>
          <w:sz w:val="18"/>
          <w:szCs w:val="18"/>
        </w:rPr>
        <w:t>W ramach realizowanego przedmiotu zamówienia Wykonawca jest zobowiązany do wykonania analizy wiedzy pracowników oraz realizowanych działań w ramach przestrzegania zasad bezpieczeństwa informacji i wytycznych w zakresie cyberbezpieczeństwa poprzez realizację zdalnego testu socjotechnicznego.</w:t>
      </w:r>
    </w:p>
    <w:p>
      <w:pPr>
        <w:pStyle w:val="Akapitzlist"/>
        <w:autoSpaceDE w:val="false"/>
        <w:spacing w:before="0" w:after="0"/>
        <w:ind w:start="0" w:end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Szczegółowy opis realizowanych w ramach zamówienia czynności: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 ramach wykonywanych prac Wykonawca przeprowadzi kompleksową weryfikację wiedzy z zakresu przestrzegania zasad bezpieczeństwa informacji poprzez wykonanie testu socjotechnicznego.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Wykonawca wspólnie z Zamawiający ustali szczegółowy scenariusz testu socjotechnicznego, który będzie odpowiadał na aktualne problemy związane z pracą Zamawiającego lub sytuacją społeczno – gospodarczą.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Wykonawca przekaże Zamawiającemu harmonogram realizacji zadania, przy czym Zamawiający ma prawo zgłoszenia uwag do harmonogramu oraz tematyki testu, które Wykonawca zobowiązany jest uwzględnić.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Wykonawca przeprowadzi test socjotechniczny z dedykowanego adresu mailowego opartego na specjalnie założonej stronie internetowej pozwalającej na uwiarygodnienie wiadomości.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Wykonawca zaprojektuje minimum jeden szablon wiadomości mailowej, która będzie wysyłana z dedykowanego adresu e-mail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Zamawiający przekaże Wykonawcy adresy mailowe pracowników objętych testem. 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Wykonawca przeprowadzi wysyłkę wiadomości mailowych w ciągu maksimum 5 dni, przy czym wysyłka powinna być realizowana w dwóch etapach, w minimum 2 dniach, przyjmując odpowiedni podział pracowników. Wysyłka powinna być realizowana partiami, w różnym czasie, tak aby zapewnić maksymalną efektywność testu. Scenariusz wysyłki powinien być oparty o wysyłkę dwóch maili, w ramach powiązanej ze sobą tematyki działania socjotechnicznego.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W trakcie realizacji testu Wykonawca będzie odpowiedzialny za monitorowanie reakcji pracowników, analizowanie odpowiedzi i interakcji odbiorców z wysłanymi wiadomościami, a także wprowadzanie zmian w realizowanej kampanii, w celu zapewnienia efektywności testu. 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Wykonawca przeanalizuje wyniki testów oraz na tej podstawie opracuje raport, który zostanie przekazany Zamawiającemu, a następnie będzie stanowił podstawę do odpowiedniej analizy tematyki szkoleń i zostanie przedstawiony pracownikom podczas szkoleń.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Raport powinien składać się minimum z następujących obszarów: opis wykorzystanych domen, opis celu realizowanego testu oraz efekty, w szczególności w ramach statystycznego przedstawienia liczby wysłanych maili, liczby maili, na które nastąpiła interakcja pracowników wraz z opisem interakcji i przedstawieniem podsumowanie wraz z zaleceniami. 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Przeprowadzone testy obejmą minimum 91 osób zatrudnionych w urzędzie oraz jednostkach organizacyjnych.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Realizacja testów powinna się odbyć w terminie: 18 – 22 maja 2026 roku. Przekazanie raportu powinno nastąpić do 27 maja 2026 roku.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 dniach 25 – 29 maja 2026 roku, Wykonawca zobowiązany jest przeprowadzić szkolenie stacjonarne dla wybranej grupy pracowników (minimum 20 osób), w ramach którego przekazane zostaną wyniki działań socjotechnicznych oraz przeprowadzone zostanie szkolenie z zakresu przeciwdziałania oddziaływaniu socjotechnicznemu.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Szkolenie zostanie przeprowadzone przez osobę wskazaną w wykazie osób, która posiada wiedzę z zakresu cyberbezpieczeństwa oraz ochrony danych osobowych.</w:t>
      </w:r>
    </w:p>
    <w:p>
      <w:pPr>
        <w:pStyle w:val="Akapitzlist"/>
        <w:numPr>
          <w:ilvl w:val="0"/>
          <w:numId w:val="7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Szkolenie będzie trwało 4 godziny i zostanie zrealizowane na terenie wskazanej przez Zamawiającego jednostki, przy czym szkolenie będzie składało się z zaprezentowania technik socjotechnicznych i prac warsztatowych w zakresie unikania wpływu socjotechniki.</w:t>
      </w:r>
    </w:p>
    <w:p>
      <w:pPr>
        <w:pStyle w:val="Normal"/>
        <w:numPr>
          <w:ilvl w:val="0"/>
          <w:numId w:val="5"/>
        </w:numPr>
        <w:spacing w:lineRule="auto" w:line="240" w:before="240" w:after="360"/>
        <w:rPr>
          <w:rFonts w:ascii="Tahoma" w:hAnsi="Tahoma" w:cs="Tahoma"/>
          <w:b/>
          <w:bCs/>
          <w:color w:val="000000"/>
          <w:lang w:eastAsia="pl-PL"/>
        </w:rPr>
      </w:pPr>
      <w:r>
        <w:rPr>
          <w:rFonts w:cs="Tahoma" w:ascii="Tahoma" w:hAnsi="Tahoma"/>
          <w:b/>
          <w:bCs/>
          <w:color w:val="000000"/>
          <w:lang w:eastAsia="pl-PL"/>
        </w:rPr>
        <w:t>Przeprowadzenia kompleksowego szkolenia pracowników z zakresu cyberbezpieczeństwa</w:t>
      </w:r>
    </w:p>
    <w:p>
      <w:pPr>
        <w:pStyle w:val="Akapitzlist"/>
        <w:autoSpaceDE w:val="false"/>
        <w:spacing w:before="0" w:after="0"/>
        <w:ind w:start="0" w:end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 ramach realizowanego przedmiotu zamówienia Wykonawca jest zobowiązany do:</w:t>
      </w:r>
    </w:p>
    <w:p>
      <w:pPr>
        <w:pStyle w:val="Akapitzlist"/>
        <w:numPr>
          <w:ilvl w:val="0"/>
          <w:numId w:val="3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Zapewnienia dostępu do platformy szkoleniowej.</w:t>
      </w:r>
    </w:p>
    <w:p>
      <w:pPr>
        <w:pStyle w:val="Akapitzlist"/>
        <w:numPr>
          <w:ilvl w:val="0"/>
          <w:numId w:val="3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Przygotowanie i przeprowadzenie szkoleń dla pracowników z zakresu cyberbezpieczeństwa.</w:t>
      </w:r>
    </w:p>
    <w:p>
      <w:pPr>
        <w:pStyle w:val="Akapitzlist"/>
        <w:numPr>
          <w:ilvl w:val="0"/>
          <w:numId w:val="3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Opracowanie poradnika z zakresu cyberbezpieczeństwa dla pracowników, który zostanie przekazany w formie tekstowej oraz graficznej, dostosowanej pod kątem wymogów dostępności dla osób o szczególnych potrzebach. </w:t>
      </w:r>
    </w:p>
    <w:p>
      <w:pPr>
        <w:pStyle w:val="Akapitzlist"/>
        <w:autoSpaceDE w:val="false"/>
        <w:spacing w:before="0" w:after="0"/>
        <w:ind w:start="0" w:end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</w:r>
    </w:p>
    <w:p>
      <w:pPr>
        <w:pStyle w:val="Akapitzlist"/>
        <w:autoSpaceDE w:val="false"/>
        <w:spacing w:before="0" w:after="0"/>
        <w:ind w:start="0" w:end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Szczegółowy opis realizowanych czynności w ramach zapewnienia dostępu do platformy szkoleniowej </w:t>
        <w:br/>
        <w:t>(punkt numer 1):</w:t>
      </w:r>
    </w:p>
    <w:p>
      <w:pPr>
        <w:pStyle w:val="Akapitzlist"/>
        <w:numPr>
          <w:ilvl w:val="0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Wykonawca zapewni dostęp do platformy szkoleniowej dostępnej online dla minimum 91 pracowników urzędu oraz jednostek organizacyjnych. </w:t>
      </w:r>
    </w:p>
    <w:p>
      <w:pPr>
        <w:pStyle w:val="Akapitzlist"/>
        <w:numPr>
          <w:ilvl w:val="0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Platforma powinna być dostępna z sieci Internet, a dostęp powinien odbywać się po zalogowaniu użytkownika (login i hasło), przy czym powinna być zapewniona możliwość jednoczesnego korzystania przez wielu użytkowników, a dostępność platformy powinna wynosić 24/7.</w:t>
      </w:r>
    </w:p>
    <w:p>
      <w:pPr>
        <w:pStyle w:val="Akapitzlist"/>
        <w:numPr>
          <w:ilvl w:val="0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Platforma powinna się składać z minimum 50 lekcji e-learningowych obejmujących niezależne treści w minimalnym zakresie odnoszącym się do: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bezpieczeństwa haseł,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socjotechniki,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bezpieczeństwa poczty e-mail,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przeciwdziałania phishingowi,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bezpieczeństwa stron www,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ochrony przed socjotechniką,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zagrożeń w sieci,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zagrożeń w sieciach Wi-Fi,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prywatności w Internecie,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dobrych praktyk bezpieczeństwa.</w:t>
      </w:r>
    </w:p>
    <w:p>
      <w:pPr>
        <w:pStyle w:val="Akapitzlist"/>
        <w:numPr>
          <w:ilvl w:val="0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Dodatkowo platforma powinna zapewniać minimum 20 lekcji e-learningowych z zakresu: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podstaw ochrony danych osobowych (RODO),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praw osób, których dane dotyczą,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obowiązków administratora danych,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bezpieczeństwa danych osobowych,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zarządzania incydentami naruszeń,</w:t>
      </w:r>
    </w:p>
    <w:p>
      <w:pPr>
        <w:pStyle w:val="Akapitzlist"/>
        <w:numPr>
          <w:ilvl w:val="1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dobrych praktyk przetwarzania danych.</w:t>
      </w:r>
    </w:p>
    <w:p>
      <w:pPr>
        <w:pStyle w:val="Akapitzlist"/>
        <w:numPr>
          <w:ilvl w:val="0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Platforma powinna zapewniać intuicyjny interfejs użytkownika, możliwość śledzenia postępów użytkowników, możliwość realizacji testów/quizów po wykonanych lekcjach, raportowanie wyników.</w:t>
      </w:r>
    </w:p>
    <w:p>
      <w:pPr>
        <w:pStyle w:val="Akapitzlist"/>
        <w:numPr>
          <w:ilvl w:val="0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 ramach działań platformy powinno być zapewnione wsparcie techniczne oraz regularna aktualizacja treści.</w:t>
      </w:r>
    </w:p>
    <w:p>
      <w:pPr>
        <w:pStyle w:val="Akapitzlist"/>
        <w:numPr>
          <w:ilvl w:val="0"/>
          <w:numId w:val="4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Dostęp powinien być zapewniony do 30 września 2026 roku.</w:t>
      </w:r>
    </w:p>
    <w:p>
      <w:pPr>
        <w:pStyle w:val="Akapitzlist"/>
        <w:autoSpaceDE w:val="false"/>
        <w:spacing w:before="0" w:after="0"/>
        <w:ind w:start="0" w:end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</w:r>
    </w:p>
    <w:p>
      <w:pPr>
        <w:pStyle w:val="Akapitzlist"/>
        <w:autoSpaceDE w:val="false"/>
        <w:spacing w:before="0" w:after="0"/>
        <w:ind w:start="0" w:end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Szczegółowy opis realizowanych w ramach zamówienia czynności związanych z przygotowaniem i przeprowadzeniem szkoleń dla pracowników z zakresu cyberbezpieczeństwa (punkt numer 2):</w:t>
      </w:r>
    </w:p>
    <w:p>
      <w:pPr>
        <w:pStyle w:val="Akapitzlist"/>
        <w:numPr>
          <w:ilvl w:val="0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 ramach wykonywanych prac materiał szkoleniowy zaprezentowany przez Wykonawcą będzie odwoływał się do poniższych wymagań prawnych: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rozporządzenia Parlamentu Europejskiego i Rady (UE)  2016/679 z dnia 27 kwietnia 2016 r. w sprawie ochrony osób fizycznych w związku z przetwarzaniem danych osobowych i w sprawie swobodnego przepływu takich danych oraz uchylenia dyrektywy 95/46/WE (RODO);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ustawy z dnia 10 maja 2018 r. o ochronie danych osobowych;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ustawy z dnia 21 lutego 2019 r. o 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rozporządzenia Rady Ministrów z dnia 21 maja 2014 r. w sprawie Krajowych Ram Interoperacyjności, minimalnych wymagań dla rejestrów publicznych i wymiany informacji w postaci elektronicznej oraz minimalnych wymagań dla systemów teleinformatycznych;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ustawy z dnia 19 lipca 2019 r. o zapewnianiu dostępności osobom ze szczególnymi potrzebami;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ustawy z dnia 4 kwietnia 2019 r. o dostępności cyfrowej stron internetowych i aplikacji mobilnych podmiotów publicznych;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wytycznych CSIRT NASK.</w:t>
      </w:r>
    </w:p>
    <w:p>
      <w:pPr>
        <w:pStyle w:val="Akapitzlist"/>
        <w:numPr>
          <w:ilvl w:val="0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Przeprowadzanie szkolenie pracowników będzie złożone z dwóch modułów szkoleniowych, które odbędą się w odrębnym momencie czasowym: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Bezpieczeństwo informacji w ramach wykorzystywania oprogramowania i przetwarzania danych osobowych;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Zasady cyberbezpieczeństwa w ramach wykonywanej pracy przez pracowników, które pozwolą na zapewnienie bezpieczeństwa zasobów jednostki.</w:t>
      </w:r>
    </w:p>
    <w:p>
      <w:pPr>
        <w:pStyle w:val="Akapitzlist"/>
        <w:numPr>
          <w:ilvl w:val="0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 toku realizacji pierwszego modułu Wykonawca jest zobowiązany do przedstawienia następujących obszarów: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Zasady przetwarzania danych osobowych.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Prawa osób w kontekście ochrony danych osobowych.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Skutki naruszenia zasad oraz zarządzanie naruszeniami. 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Retencja danych osobowych.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Sposoby zapewnienia bezpieczeństwa informacji u Zamawiającego.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Zapewnienie ochrony prywatności w przeglądarkach internetowych.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Zapewnienie bezpieczeństwa plików z wykorzystaniem oprogramowania Zamawiającego w zakresie szyfrowania informacji.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Dostępność cyfrowa w sieci oraz oprogramowaniu.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Realizowanie zasad związanych z dostępnością dla osób ze szczególnymi potrzebami z wykorzystaniem oprogramowania w celu zapewnienia bezpieczeństwa informacji.</w:t>
      </w:r>
    </w:p>
    <w:p>
      <w:pPr>
        <w:pStyle w:val="Akapitzlist"/>
        <w:numPr>
          <w:ilvl w:val="0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 toku realizacji drugiego moduły Wykonawca jest zobowiązany do przedstawienia następujących obszarów: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Czym jest phishing? 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Czym jest ransomware? 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Socjotechnika jako podstawowe narzędzie sprawców ataków.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Zasady bezpiecznego korzystania z Internetu;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Zasady bezpiecznego korzystania z portali społecznościowych;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Zasady bezpiecznego korzystania z poczty elektronicznej i zagrożenia z tym związane;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Zasady bezpiecznego korzystania z haseł;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Zagrożenia bezpieczeństwa informacji przy korzystaniu  z sieci Internet.</w:t>
      </w:r>
    </w:p>
    <w:p>
      <w:pPr>
        <w:pStyle w:val="Akapitzlist"/>
        <w:numPr>
          <w:ilvl w:val="2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Ataki przez pocztę e-mail</w:t>
      </w:r>
    </w:p>
    <w:p>
      <w:pPr>
        <w:pStyle w:val="Akapitzlist"/>
        <w:numPr>
          <w:ilvl w:val="2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Ataki przez strony WWW</w:t>
      </w:r>
    </w:p>
    <w:p>
      <w:pPr>
        <w:pStyle w:val="Akapitzlist"/>
        <w:numPr>
          <w:ilvl w:val="2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Bezpieczna praca z przeglądarką internetową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Bezpieczna praca z programem pocztowym 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Bezpieczne korzystanie z sieci bezprzewodowych (Wi-Fi, Bluetooth).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Zagrożenia i sposoby zabezpieczania sprzętu mobilnego;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Korzystanie z menedżera haseł w praktyce;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Przykłady technik stosowanych przez cyberprzestępców;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Zasady bezpiecznego realizowania pracy zdalnej. 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Wycieki informacji – mechanizmy i skutki.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Zarządzanie hasłami – dobre praktyki i narzędzia pomocnicze.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Psychomanipulacja w sieci – zasady i zastosowania.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Sfałszowane komunikaty i strony – identyfikacja zagrożeń.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Ataki głosowe i podszywanie się pod identyfikator dzwoniącego (vishing).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Deepfake oraz inne zagrożenia wynikające ze stosowania AI w przyszłości.</w:t>
      </w:r>
    </w:p>
    <w:p>
      <w:pPr>
        <w:pStyle w:val="Akapitzlist"/>
        <w:numPr>
          <w:ilvl w:val="1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Mechanizmy ochronne przed cyberzagrożeniami.</w:t>
      </w:r>
    </w:p>
    <w:p>
      <w:pPr>
        <w:pStyle w:val="Akapitzlist"/>
        <w:numPr>
          <w:ilvl w:val="0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sz w:val="18"/>
          <w:szCs w:val="18"/>
        </w:rPr>
      </w:pPr>
      <w:r>
        <w:rPr>
          <w:rFonts w:eastAsia="Tahoma" w:cs="Tahoma" w:ascii="Tahoma" w:hAnsi="Tahoma"/>
          <w:sz w:val="18"/>
          <w:szCs w:val="18"/>
        </w:rPr>
        <w:t>Moduły szkoleniowe realizowane są niezależnie, w odrębnych dniach, przy czym najpierw realizowany jest pierwszy moduł szkoleniowy, a następnie drugi moduł szkoleniowy.</w:t>
      </w:r>
    </w:p>
    <w:p>
      <w:pPr>
        <w:pStyle w:val="Akapitzlist"/>
        <w:numPr>
          <w:ilvl w:val="0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sz w:val="18"/>
          <w:szCs w:val="18"/>
        </w:rPr>
      </w:pPr>
      <w:r>
        <w:rPr>
          <w:rFonts w:eastAsia="Tahoma" w:cs="Tahoma" w:ascii="Tahoma" w:hAnsi="Tahoma"/>
          <w:sz w:val="18"/>
          <w:szCs w:val="18"/>
        </w:rPr>
        <w:t>Pierwszy moduł szkoleniowy powinien zostać zrealizowany w dniach 11 – 29 maja, w dni robocze, w godzinach 9 – 15.</w:t>
      </w:r>
    </w:p>
    <w:p>
      <w:pPr>
        <w:pStyle w:val="Akapitzlist"/>
        <w:numPr>
          <w:ilvl w:val="0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sz w:val="18"/>
          <w:szCs w:val="18"/>
        </w:rPr>
      </w:pPr>
      <w:r>
        <w:rPr>
          <w:rFonts w:eastAsia="Tahoma" w:cs="Tahoma" w:ascii="Tahoma" w:hAnsi="Tahoma"/>
          <w:sz w:val="18"/>
          <w:szCs w:val="18"/>
        </w:rPr>
        <w:t>Drugi moduł szkoleniowy powinien zostać zrealizowany w dniach 1 – 19 czerwca, w dni robocze, w godzinach 9-15.</w:t>
      </w:r>
    </w:p>
    <w:p>
      <w:pPr>
        <w:pStyle w:val="Akapitzlist"/>
        <w:numPr>
          <w:ilvl w:val="0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sz w:val="18"/>
          <w:szCs w:val="18"/>
        </w:rPr>
      </w:pPr>
      <w:r>
        <w:rPr>
          <w:rFonts w:eastAsia="Tahoma" w:cs="Tahoma" w:ascii="Tahoma" w:hAnsi="Tahoma"/>
          <w:sz w:val="18"/>
          <w:szCs w:val="18"/>
        </w:rPr>
        <w:t>Grupa szkoleniowa może się składać z maksymalnie 25 osób, więc w ramach jednego modułu planowane jest zorganizowanie 4 grup szkoleniowych.</w:t>
      </w:r>
    </w:p>
    <w:p>
      <w:pPr>
        <w:pStyle w:val="Akapitzlist"/>
        <w:numPr>
          <w:ilvl w:val="0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sz w:val="18"/>
          <w:szCs w:val="18"/>
        </w:rPr>
      </w:pPr>
      <w:r>
        <w:rPr>
          <w:rFonts w:eastAsia="Tahoma" w:cs="Tahoma" w:ascii="Tahoma" w:hAnsi="Tahoma"/>
          <w:sz w:val="18"/>
          <w:szCs w:val="18"/>
        </w:rPr>
        <w:t>Działania szkoleniowe w ramach jednego modułu realizowane są przez minimum 3 dni, przy czym zakłada się, iż w jednym dniu możliwe będzie połączenie dwóch grup szkoleniowych, a Wykonawca w pozostałe dni będzie miał możliwość przeprowadzenia jednej grupy szkoleniowej w jednym dniu.</w:t>
      </w:r>
    </w:p>
    <w:p>
      <w:pPr>
        <w:pStyle w:val="Akapitzlist"/>
        <w:numPr>
          <w:ilvl w:val="0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sz w:val="18"/>
          <w:szCs w:val="18"/>
        </w:rPr>
      </w:pPr>
      <w:r>
        <w:rPr>
          <w:rFonts w:eastAsia="Tahoma" w:cs="Tahoma" w:ascii="Tahoma" w:hAnsi="Tahoma"/>
          <w:sz w:val="18"/>
          <w:szCs w:val="18"/>
        </w:rPr>
        <w:t>Czas trwania szkolenia realizowanego dla jednej grupy wynosi 3 godziny.</w:t>
      </w:r>
    </w:p>
    <w:p>
      <w:pPr>
        <w:pStyle w:val="Akapitzlist"/>
        <w:numPr>
          <w:ilvl w:val="0"/>
          <w:numId w:val="6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sz w:val="18"/>
          <w:szCs w:val="18"/>
        </w:rPr>
      </w:pPr>
      <w:r>
        <w:rPr>
          <w:rFonts w:eastAsia="Tahoma" w:cs="Tahoma" w:ascii="Tahoma" w:hAnsi="Tahoma"/>
          <w:sz w:val="18"/>
          <w:szCs w:val="18"/>
        </w:rPr>
        <w:t>Szkolenia realizowane są stacjonarnie w miejscach wskazanych przez Zamawiającego, na terenie Gminy Zwierzyn.</w:t>
      </w:r>
    </w:p>
    <w:p>
      <w:pPr>
        <w:pStyle w:val="Normal"/>
        <w:numPr>
          <w:ilvl w:val="0"/>
          <w:numId w:val="6"/>
        </w:numPr>
        <w:spacing w:before="0" w:after="0"/>
        <w:rPr>
          <w:rFonts w:ascii="Tahoma" w:hAnsi="Tahoma" w:eastAsia="Tahoma" w:cs="Tahoma"/>
          <w:sz w:val="18"/>
          <w:szCs w:val="18"/>
        </w:rPr>
      </w:pPr>
      <w:r>
        <w:rPr>
          <w:rFonts w:eastAsia="Tahoma" w:cs="Tahoma" w:ascii="Tahoma" w:hAnsi="Tahoma"/>
          <w:sz w:val="18"/>
          <w:szCs w:val="18"/>
        </w:rPr>
        <w:t>Wykonawca opracuje i wyda każdemu z uczestników szkoleń imienny certyfikat uczestnictwa w szkoleniach, który będzie oznaczony zgodnie z zasadami wizualizacji programu Fundusze Europejskie na Rozwój Cyfrowy 2021-2027 (FERC).</w:t>
      </w:r>
    </w:p>
    <w:p>
      <w:pPr>
        <w:pStyle w:val="Akapitzlist"/>
        <w:autoSpaceDE w:val="false"/>
        <w:spacing w:before="0" w:after="0"/>
        <w:ind w:start="0" w:end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</w:r>
    </w:p>
    <w:p>
      <w:pPr>
        <w:pStyle w:val="Akapitzlist"/>
        <w:autoSpaceDE w:val="false"/>
        <w:spacing w:before="0" w:after="0"/>
        <w:ind w:start="0" w:end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Szczegółowy opis realizowanych w ramach zamówienia czynności związanych z opracowaniem poradnika z zakresu cyberbezpieczeństwa dla pracowników, który zostanie przekazany w formie tekstowej oraz graficznej, dostosowanej pod kątem wymogów dostępności dla osób o szczególnych potrzebach (punkt numer 3):</w:t>
      </w:r>
    </w:p>
    <w:p>
      <w:pPr>
        <w:pStyle w:val="Akapitzlist"/>
        <w:numPr>
          <w:ilvl w:val="0"/>
          <w:numId w:val="2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Wykonawca zobowiązany jest do opracowania poradnika z zakresu cyberbezpieczeństwa dla pracowników, który w sposób przystępny, z wykorzystaniem elementów graficznych będzie przedstawiał podstawowe zasady z zakresu będzpieczeństwa informacji i podejmowania działań związanych z należytą ochroną informacji. </w:t>
      </w:r>
    </w:p>
    <w:p>
      <w:pPr>
        <w:pStyle w:val="Akapitzlist"/>
        <w:numPr>
          <w:ilvl w:val="0"/>
          <w:numId w:val="2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Poradnik powinien składać się minimum z następujących zagadnień:</w:t>
      </w:r>
    </w:p>
    <w:p>
      <w:pPr>
        <w:pStyle w:val="Akapitzlist"/>
        <w:numPr>
          <w:ilvl w:val="1"/>
          <w:numId w:val="2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Bezpieczne korzystanie z oprogramowania.</w:t>
      </w:r>
    </w:p>
    <w:p>
      <w:pPr>
        <w:pStyle w:val="Akapitzlist"/>
        <w:numPr>
          <w:ilvl w:val="1"/>
          <w:numId w:val="2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Zasady aktualizacji programów i aplikacji.</w:t>
      </w:r>
    </w:p>
    <w:p>
      <w:pPr>
        <w:pStyle w:val="Akapitzlist"/>
        <w:numPr>
          <w:ilvl w:val="1"/>
          <w:numId w:val="2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Szyfrowanie dokumentów i poczty elektronicznej.</w:t>
      </w:r>
    </w:p>
    <w:p>
      <w:pPr>
        <w:pStyle w:val="Akapitzlist"/>
        <w:numPr>
          <w:ilvl w:val="1"/>
          <w:numId w:val="2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Polityka haseł oraz zarządzanie dostępem.</w:t>
      </w:r>
    </w:p>
    <w:p>
      <w:pPr>
        <w:pStyle w:val="Akapitzlist"/>
        <w:numPr>
          <w:ilvl w:val="1"/>
          <w:numId w:val="2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Zasady bezpiecznej pracy zdalnej.</w:t>
      </w:r>
    </w:p>
    <w:p>
      <w:pPr>
        <w:pStyle w:val="Akapitzlist"/>
        <w:numPr>
          <w:ilvl w:val="1"/>
          <w:numId w:val="2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Bezpieczna praca z plikami.</w:t>
      </w:r>
    </w:p>
    <w:p>
      <w:pPr>
        <w:pStyle w:val="Akapitzlist"/>
        <w:numPr>
          <w:ilvl w:val="0"/>
          <w:numId w:val="2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Poradnik objętościowo powinien mieć od minimum 5 stron A4 do 15 stron A4.</w:t>
      </w:r>
    </w:p>
    <w:p>
      <w:pPr>
        <w:pStyle w:val="Akapitzlist"/>
        <w:numPr>
          <w:ilvl w:val="0"/>
          <w:numId w:val="2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Poradnik powinien zostać opracowany w formie elektronicznej w pliku pdf.</w:t>
      </w:r>
    </w:p>
    <w:p>
      <w:pPr>
        <w:pStyle w:val="Akapitzlist"/>
        <w:numPr>
          <w:ilvl w:val="0"/>
          <w:numId w:val="2"/>
        </w:numPr>
        <w:autoSpaceDE w:val="false"/>
        <w:spacing w:before="0" w:after="0"/>
        <w:contextualSpacing/>
        <w:jc w:val="both"/>
        <w:rPr>
          <w:rFonts w:ascii="Tahoma" w:hAnsi="Tahoma" w:eastAsia="Tahoma" w:cs="Tahoma"/>
          <w:color w:val="000000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Przekazywany plik powinien być dostosowany do potrzeb osób o szczególnych potrzebach, zgodnie z wymogami ustawy z dnia 19 lipca 2019 r. o zapewnianiu dostępności osobom ze szczególnymi potrzebami.</w:t>
      </w:r>
    </w:p>
    <w:p>
      <w:pPr>
        <w:pStyle w:val="Akapitzlist"/>
        <w:autoSpaceDE w:val="false"/>
        <w:spacing w:before="0" w:after="0"/>
        <w:ind w:start="0" w:end="0"/>
        <w:contextualSpacing/>
        <w:rPr>
          <w:rFonts w:ascii="Tahoma" w:hAnsi="Tahoma" w:eastAsia="Tahoma" w:cs="Tahoma"/>
          <w:b/>
          <w:bCs/>
          <w:color w:val="000000"/>
          <w:sz w:val="18"/>
          <w:szCs w:val="18"/>
          <w:lang w:eastAsia="pl-PL"/>
        </w:rPr>
      </w:pPr>
      <w:r>
        <w:rPr>
          <w:rFonts w:eastAsia="Tahoma" w:cs="Tahoma" w:ascii="Tahoma" w:hAnsi="Tahoma"/>
          <w:b/>
          <w:bCs/>
          <w:color w:val="000000"/>
          <w:sz w:val="18"/>
          <w:szCs w:val="18"/>
          <w:lang w:eastAsia="pl-PL"/>
        </w:rPr>
      </w:r>
    </w:p>
    <w:p>
      <w:pPr>
        <w:pStyle w:val="Akapitzlist"/>
        <w:autoSpaceDE w:val="false"/>
        <w:spacing w:before="0" w:after="0"/>
        <w:ind w:start="0" w:end="0"/>
        <w:contextualSpacing/>
        <w:rPr>
          <w:rFonts w:ascii="Tahoma" w:hAnsi="Tahoma" w:cs="Tahoma"/>
          <w:b/>
          <w:bCs/>
          <w:color w:val="000000"/>
          <w:lang w:eastAsia="pl-PL"/>
        </w:rPr>
      </w:pPr>
      <w:r>
        <w:rPr>
          <w:rFonts w:cs="Tahoma" w:ascii="Tahoma" w:hAnsi="Tahoma"/>
          <w:b/>
          <w:bCs/>
          <w:color w:val="000000"/>
          <w:lang w:eastAsia="pl-PL"/>
        </w:rPr>
      </w:r>
    </w:p>
    <w:p>
      <w:pPr>
        <w:pStyle w:val="Normal"/>
        <w:spacing w:lineRule="auto" w:line="240" w:before="240" w:after="360"/>
        <w:jc w:val="both"/>
        <w:rPr>
          <w:rFonts w:ascii="Tahoma" w:hAnsi="Tahoma" w:cs="Tahoma"/>
          <w:b/>
          <w:bCs/>
          <w:color w:val="000000"/>
          <w:lang w:eastAsia="pl-PL"/>
        </w:rPr>
      </w:pPr>
      <w:r>
        <w:rPr>
          <w:rFonts w:cs="Tahoma" w:ascii="Tahoma" w:hAnsi="Tahoma"/>
          <w:b/>
          <w:bCs/>
          <w:color w:val="000000"/>
          <w:lang w:eastAsia="pl-PL"/>
        </w:rPr>
      </w:r>
    </w:p>
    <w:sectPr>
      <w:headerReference w:type="default" r:id="rId2"/>
      <w:footerReference w:type="default" r:id="rId3"/>
      <w:type w:val="nextPage"/>
      <w:pgSz w:w="11906" w:h="16838"/>
      <w:pgMar w:left="1276" w:right="1274" w:gutter="0" w:header="283" w:top="1922" w:footer="0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Courier New">
    <w:charset w:val="ee" w:characterSet="windows-1250"/>
    <w:family w:val="modern"/>
    <w:pitch w:val="default"/>
  </w:font>
  <w:font w:name="Wingdings">
    <w:charset w:val="02"/>
    <w:family w:val="auto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ptos"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enter" w:pos="4536" w:leader="none"/>
        <w:tab w:val="center" w:pos="4889" w:leader="none"/>
        <w:tab w:val="left" w:pos="8964" w:leader="none"/>
        <w:tab w:val="right" w:pos="9072" w:leader="none"/>
        <w:tab w:val="right" w:pos="9720" w:leader="none"/>
      </w:tabs>
      <w:spacing w:before="360" w:after="360"/>
      <w:jc w:val="end"/>
      <w:rPr/>
    </w:pPr>
    <w:r>
      <w:rPr>
        <w:rFonts w:cs="Calibri"/>
        <w:color w:val="646464"/>
        <w:sz w:val="10"/>
        <w:szCs w:val="10"/>
      </w:rPr>
      <w:tab/>
      <w:t xml:space="preserve">strona </w:t>
    </w:r>
    <w:r>
      <w:rPr>
        <w:rFonts w:cs="Calibri"/>
        <w:b/>
        <w:bCs/>
        <w:color w:val="646464"/>
        <w:sz w:val="10"/>
        <w:szCs w:val="10"/>
      </w:rPr>
      <w:fldChar w:fldCharType="begin"/>
    </w:r>
    <w:r>
      <w:rPr>
        <w:rFonts w:cs="Calibri"/>
        <w:b/>
        <w:bCs/>
        <w:color w:val="646464"/>
        <w:sz w:val="10"/>
        <w:szCs w:val="10"/>
      </w:rPr>
      <w:instrText xml:space="preserve"> PAGE </w:instrText>
    </w:r>
    <w:r>
      <w:rPr>
        <w:rFonts w:cs="Calibri"/>
        <w:b/>
        <w:bCs/>
        <w:color w:val="646464"/>
        <w:sz w:val="10"/>
        <w:szCs w:val="10"/>
      </w:rPr>
      <w:fldChar w:fldCharType="separate"/>
    </w:r>
    <w:r>
      <w:rPr>
        <w:rFonts w:cs="Calibri"/>
        <w:b/>
        <w:bCs/>
        <w:color w:val="646464"/>
        <w:sz w:val="10"/>
        <w:szCs w:val="10"/>
      </w:rPr>
      <w:t>5</w:t>
    </w:r>
    <w:r>
      <w:rPr>
        <w:rFonts w:cs="Calibri"/>
        <w:b/>
        <w:bCs/>
        <w:color w:val="646464"/>
        <w:sz w:val="10"/>
        <w:szCs w:val="10"/>
      </w:rPr>
      <w:fldChar w:fldCharType="end"/>
    </w:r>
    <w:r>
      <w:rPr>
        <w:rFonts w:cs="Calibri"/>
        <w:color w:val="646464"/>
        <w:sz w:val="10"/>
        <w:szCs w:val="10"/>
      </w:rPr>
      <w:t xml:space="preserve"> z </w:t>
    </w:r>
    <w:r>
      <w:rPr>
        <w:rFonts w:cs="Calibri"/>
        <w:b/>
        <w:bCs/>
        <w:color w:val="646464"/>
        <w:sz w:val="10"/>
        <w:szCs w:val="10"/>
      </w:rPr>
      <w:fldChar w:fldCharType="begin"/>
    </w:r>
    <w:r>
      <w:rPr>
        <w:rFonts w:cs="Calibri"/>
        <w:b/>
        <w:bCs/>
        <w:color w:val="646464"/>
        <w:sz w:val="10"/>
        <w:szCs w:val="10"/>
      </w:rPr>
      <w:instrText xml:space="preserve"> NUMPAGES \* ARABIC </w:instrText>
    </w:r>
    <w:r>
      <w:rPr>
        <w:rFonts w:cs="Calibri"/>
        <w:b/>
        <w:bCs/>
        <w:color w:val="646464"/>
        <w:sz w:val="10"/>
        <w:szCs w:val="10"/>
      </w:rPr>
      <w:fldChar w:fldCharType="separate"/>
    </w:r>
    <w:r>
      <w:rPr>
        <w:rFonts w:cs="Calibri"/>
        <w:b/>
        <w:bCs/>
        <w:color w:val="646464"/>
        <w:sz w:val="10"/>
        <w:szCs w:val="10"/>
      </w:rPr>
      <w:t>5</w:t>
    </w:r>
    <w:r>
      <w:rPr>
        <w:rFonts w:cs="Calibri"/>
        <w:b/>
        <w:bCs/>
        <w:color w:val="646464"/>
        <w:sz w:val="10"/>
        <w:szCs w:val="1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360" w:after="360"/>
      <w:rPr>
        <w:rFonts w:eastAsia="Calibri" w:cs="Calibri"/>
        <w:lang w:val="pl-PL" w:eastAsia="pl-PL"/>
      </w:rPr>
    </w:pPr>
    <w:r>
      <w:rPr>
        <w:rFonts w:eastAsia="Calibri" w:cs="Calibri"/>
        <w:lang w:val="pl-PL" w:eastAsia="pl-PL"/>
      </w:rPr>
      <w:drawing>
        <wp:inline distT="0" distB="0" distL="0" distR="0">
          <wp:extent cx="5995670" cy="6210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54" r="-6" b="-54"/>
                  <a:stretch>
                    <a:fillRect/>
                  </a:stretch>
                </pic:blipFill>
                <pic:spPr bwMode="auto">
                  <a:xfrm>
                    <a:off x="0" y="0"/>
                    <a:ext cx="5995670" cy="621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pStyle w:val="Heading2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pStyle w:val="Heading9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b w:val="false"/>
        <w:bCs w:val="false"/>
        <w:sz w:val="18"/>
        <w:szCs w:val="18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>
        <w:b w:val="false"/>
        <w:bCs w:val="false"/>
        <w:sz w:val="18"/>
        <w:szCs w:val="18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340" w:hanging="360"/>
      </w:pPr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360" w:before="360" w:after="360"/>
    </w:pPr>
    <w:rPr>
      <w:rFonts w:ascii="Calibri" w:hAnsi="Calibri" w:eastAsia="Times New Roman" w:cs="Times New Roman"/>
      <w:color w:val="auto"/>
      <w:sz w:val="24"/>
      <w:szCs w:val="24"/>
      <w:lang w:val="pl-PL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lineRule="auto" w:line="276"/>
      <w:outlineLvl w:val="0"/>
    </w:pPr>
    <w:rPr>
      <w:rFonts w:eastAsia="MS Gothic;ＭＳ ゴシック" w:cs="Times New Roman"/>
      <w:b/>
      <w:bCs/>
      <w:sz w:val="26"/>
      <w:szCs w:val="28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pacing w:lineRule="auto" w:line="276"/>
      <w:outlineLvl w:val="1"/>
    </w:pPr>
    <w:rPr>
      <w:rFonts w:eastAsia="MS Gothic;ＭＳ ゴシック" w:cs="Times New Roman"/>
      <w:b/>
      <w:szCs w:val="26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Calibri Light" w:hAnsi="Calibri Light" w:eastAsia="Times New Roman" w:cs="Times New Roman"/>
      <w:sz w:val="22"/>
      <w:szCs w:val="22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Symbol" w:hAnsi="Symbol" w:cs="Symbol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0">
    <w:name w:val="WW8Num12z0"/>
    <w:qFormat/>
    <w:rPr>
      <w:rFonts w:ascii="Tahoma" w:hAnsi="Tahoma" w:eastAsia="Tahoma" w:cs="Tahoma"/>
    </w:rPr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6z0">
    <w:name w:val="WW8Num16z0"/>
    <w:qFormat/>
    <w:rPr/>
  </w:style>
  <w:style w:type="character" w:styleId="WW8Num17z0">
    <w:name w:val="WW8Num17z0"/>
    <w:qFormat/>
    <w:rPr>
      <w:rFonts w:ascii="Symbol" w:hAnsi="Symbol" w:cs="Symbo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8z0">
    <w:name w:val="WW8Num18z0"/>
    <w:qFormat/>
    <w:rPr>
      <w:rFonts w:ascii="Symbol" w:hAnsi="Symbol" w:cs="Symbo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20z0">
    <w:name w:val="WW8Num20z0"/>
    <w:qFormat/>
    <w:rPr>
      <w:rFonts w:ascii="Symbol" w:hAnsi="Symbol" w:cs="Symbol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1z0">
    <w:name w:val="WW8Num21z0"/>
    <w:qFormat/>
    <w:rPr/>
  </w:style>
  <w:style w:type="character" w:styleId="WW8Num22z0">
    <w:name w:val="WW8Num22z0"/>
    <w:qFormat/>
    <w:rPr>
      <w:b w:val="false"/>
      <w:bCs w:val="false"/>
      <w:sz w:val="18"/>
      <w:szCs w:val="18"/>
    </w:rPr>
  </w:style>
  <w:style w:type="character" w:styleId="WW8Num22z1">
    <w:name w:val="WW8Num22z1"/>
    <w:qFormat/>
    <w:rPr>
      <w:b w:val="false"/>
      <w:bCs w:val="false"/>
      <w:sz w:val="18"/>
      <w:szCs w:val="18"/>
    </w:rPr>
  </w:style>
  <w:style w:type="character" w:styleId="WW8Num24z0">
    <w:name w:val="WW8Num24z0"/>
    <w:qFormat/>
    <w:rPr>
      <w:rFonts w:ascii="Times New Roman" w:hAnsi="Times New Roman" w:cs="Times New Roman"/>
      <w:color w:val="000000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Tahoma" w:hAnsi="Tahoma" w:cs="Tahoma"/>
      <w:b/>
      <w:bCs/>
      <w:sz w:val="24"/>
      <w:szCs w:val="24"/>
    </w:rPr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2z0">
    <w:name w:val="WW8Num32z0"/>
    <w:qFormat/>
    <w:rPr>
      <w:rFonts w:ascii="Symbol" w:hAnsi="Symbol" w:cs="Symbol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3z0">
    <w:name w:val="WW8Num33z0"/>
    <w:qFormat/>
    <w:rPr>
      <w:rFonts w:ascii="Symbol" w:hAnsi="Symbol" w:cs="Symbol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4z0">
    <w:name w:val="WW8Num34z0"/>
    <w:qFormat/>
    <w:rPr>
      <w:rFonts w:ascii="Symbol" w:hAnsi="Symbol" w:cs="Symbol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Symbol" w:hAnsi="Symbol" w:cs="Symbol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6z0">
    <w:name w:val="WW8Num36z0"/>
    <w:qFormat/>
    <w:rPr>
      <w:rFonts w:ascii="Symbol" w:hAnsi="Symbol" w:cs="Symbol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7z0">
    <w:name w:val="WW8Num37z0"/>
    <w:qFormat/>
    <w:rPr>
      <w:rFonts w:ascii="Symbol" w:hAnsi="Symbol" w:cs="Symbo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8z0">
    <w:name w:val="WW8Num38z0"/>
    <w:qFormat/>
    <w:rPr>
      <w:rFonts w:ascii="Symbol" w:hAnsi="Symbol" w:cs="Symbol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9z0">
    <w:name w:val="WW8Num39z0"/>
    <w:qFormat/>
    <w:rPr>
      <w:rFonts w:ascii="Times New Roman" w:hAnsi="Times New Roman" w:cs="Times New Roman"/>
      <w:color w:val="000000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40z0">
    <w:name w:val="WW8Num40z0"/>
    <w:qFormat/>
    <w:rPr>
      <w:rFonts w:ascii="Times New Roman" w:hAnsi="Times New Roman" w:cs="Times New Roman"/>
      <w:color w:val="000000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4z0">
    <w:name w:val="WW8Num44z0"/>
    <w:qFormat/>
    <w:rPr>
      <w:rFonts w:ascii="Tahoma" w:hAnsi="Tahoma" w:eastAsia="Tahoma" w:cs="Tahoma"/>
    </w:rPr>
  </w:style>
  <w:style w:type="character" w:styleId="WW8Num45z0">
    <w:name w:val="WW8Num45z0"/>
    <w:qFormat/>
    <w:rPr>
      <w:rFonts w:ascii="Symbol" w:hAnsi="Symbol" w:cs="Symbol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6z0">
    <w:name w:val="WW8Num46z0"/>
    <w:qFormat/>
    <w:rPr>
      <w:rFonts w:ascii="Symbol" w:hAnsi="Symbol" w:cs="Symbol"/>
    </w:rPr>
  </w:style>
  <w:style w:type="character" w:styleId="WW8Num46z1">
    <w:name w:val="WW8Num46z1"/>
    <w:qFormat/>
    <w:rPr>
      <w:rFonts w:ascii="Courier New" w:hAnsi="Courier New" w:cs="Courier New"/>
    </w:rPr>
  </w:style>
  <w:style w:type="character" w:styleId="WW8Num46z2">
    <w:name w:val="WW8Num46z2"/>
    <w:qFormat/>
    <w:rPr>
      <w:rFonts w:ascii="Wingdings" w:hAnsi="Wingdings" w:cs="Wingdings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WW8Num48z0">
    <w:name w:val="WW8Num48z0"/>
    <w:qFormat/>
    <w:rPr>
      <w:rFonts w:ascii="Symbol" w:hAnsi="Symbol" w:cs="Symbol"/>
    </w:rPr>
  </w:style>
  <w:style w:type="character" w:styleId="WW8Num48z1">
    <w:name w:val="WW8Num48z1"/>
    <w:qFormat/>
    <w:rPr>
      <w:rFonts w:ascii="Courier New" w:hAnsi="Courier New" w:cs="Courier New"/>
    </w:rPr>
  </w:style>
  <w:style w:type="character" w:styleId="WW8Num48z2">
    <w:name w:val="WW8Num48z2"/>
    <w:qFormat/>
    <w:rPr>
      <w:rFonts w:ascii="Wingdings" w:hAnsi="Wingdings" w:cs="Wingdings"/>
    </w:rPr>
  </w:style>
  <w:style w:type="character" w:styleId="WW8Num50z0">
    <w:name w:val="WW8Num50z0"/>
    <w:qFormat/>
    <w:rPr>
      <w:rFonts w:ascii="Symbol" w:hAnsi="Symbol" w:cs="Symbol"/>
    </w:rPr>
  </w:style>
  <w:style w:type="character" w:styleId="WW8Num50z1">
    <w:name w:val="WW8Num50z1"/>
    <w:qFormat/>
    <w:rPr>
      <w:rFonts w:ascii="Courier New" w:hAnsi="Courier New" w:cs="Courier New"/>
    </w:rPr>
  </w:style>
  <w:style w:type="character" w:styleId="WW8Num50z2">
    <w:name w:val="WW8Num50z2"/>
    <w:qFormat/>
    <w:rPr>
      <w:rFonts w:ascii="Wingdings" w:hAnsi="Wingdings" w:cs="Wingdings"/>
    </w:rPr>
  </w:style>
  <w:style w:type="character" w:styleId="WW8Num51z0">
    <w:name w:val="WW8Num51z0"/>
    <w:qFormat/>
    <w:rPr>
      <w:rFonts w:ascii="Symbol" w:hAnsi="Symbol" w:cs="Symbol"/>
    </w:rPr>
  </w:style>
  <w:style w:type="character" w:styleId="WW8Num51z1">
    <w:name w:val="WW8Num51z1"/>
    <w:qFormat/>
    <w:rPr>
      <w:rFonts w:ascii="Courier New" w:hAnsi="Courier New" w:cs="Courier New"/>
    </w:rPr>
  </w:style>
  <w:style w:type="character" w:styleId="WW8Num51z2">
    <w:name w:val="WW8Num51z2"/>
    <w:qFormat/>
    <w:rPr>
      <w:rFonts w:ascii="Wingdings" w:hAnsi="Wingdings" w:cs="Wingdings"/>
    </w:rPr>
  </w:style>
  <w:style w:type="character" w:styleId="WW8Num52z0">
    <w:name w:val="WW8Num52z0"/>
    <w:qFormat/>
    <w:rPr>
      <w:rFonts w:ascii="Symbol" w:hAnsi="Symbol" w:cs="Symbol"/>
    </w:rPr>
  </w:style>
  <w:style w:type="character" w:styleId="WW8Num52z1">
    <w:name w:val="WW8Num52z1"/>
    <w:qFormat/>
    <w:rPr>
      <w:rFonts w:ascii="Courier New" w:hAnsi="Courier New" w:cs="Courier New"/>
    </w:rPr>
  </w:style>
  <w:style w:type="character" w:styleId="WW8Num52z2">
    <w:name w:val="WW8Num52z2"/>
    <w:qFormat/>
    <w:rPr>
      <w:rFonts w:ascii="Wingdings" w:hAnsi="Wingdings" w:cs="Wingdings"/>
    </w:rPr>
  </w:style>
  <w:style w:type="character" w:styleId="WW8Num53z0">
    <w:name w:val="WW8Num53z0"/>
    <w:qFormat/>
    <w:rPr>
      <w:rFonts w:ascii="Symbol" w:hAnsi="Symbol" w:cs="Symbol"/>
    </w:rPr>
  </w:style>
  <w:style w:type="character" w:styleId="WW8Num53z1">
    <w:name w:val="WW8Num53z1"/>
    <w:qFormat/>
    <w:rPr>
      <w:rFonts w:ascii="Courier New" w:hAnsi="Courier New" w:cs="Courier New"/>
    </w:rPr>
  </w:style>
  <w:style w:type="character" w:styleId="WW8Num53z2">
    <w:name w:val="WW8Num53z2"/>
    <w:qFormat/>
    <w:rPr>
      <w:rFonts w:ascii="Wingdings" w:hAnsi="Wingdings" w:cs="Wingdings"/>
    </w:rPr>
  </w:style>
  <w:style w:type="character" w:styleId="Domylnaczcionkaakapitu">
    <w:name w:val="Domyślna czcionka akapitu"/>
    <w:qFormat/>
    <w:rPr/>
  </w:style>
  <w:style w:type="character" w:styleId="PageNumber">
    <w:name w:val="page number"/>
    <w:basedOn w:val="Domylnaczcionkaakapitu"/>
    <w:rPr/>
  </w:style>
  <w:style w:type="character" w:styleId="Strong">
    <w:name w:val="Strong"/>
    <w:qFormat/>
    <w:rPr>
      <w:b/>
      <w:bCs/>
    </w:rPr>
  </w:style>
  <w:style w:type="character" w:styleId="Nagwek1Znak">
    <w:name w:val="Nagłówek 1 Znak"/>
    <w:qFormat/>
    <w:rPr>
      <w:rFonts w:eastAsia="MS Gothic;ＭＳ ゴシック" w:cs="Times New Roman"/>
      <w:b/>
      <w:bCs/>
      <w:sz w:val="26"/>
      <w:szCs w:val="28"/>
    </w:rPr>
  </w:style>
  <w:style w:type="character" w:styleId="Hyperlink">
    <w:name w:val="Hyperlink"/>
    <w:rPr>
      <w:color w:val="0563C1"/>
      <w:u w:val="single"/>
    </w:rPr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lang w:val="pl-PL"/>
    </w:rPr>
  </w:style>
  <w:style w:type="character" w:styleId="TematkomentarzaZnak">
    <w:name w:val="Temat komentarza Znak"/>
    <w:qFormat/>
    <w:rPr>
      <w:b/>
      <w:bCs/>
      <w:lang w:val="pl-PL"/>
    </w:rPr>
  </w:style>
  <w:style w:type="character" w:styleId="Tekstzastpczy">
    <w:name w:val="Tekst zastępczy"/>
    <w:qFormat/>
    <w:rPr>
      <w:color w:val="808080"/>
    </w:rPr>
  </w:style>
  <w:style w:type="character" w:styleId="StopkaZnak">
    <w:name w:val="Stopka Znak"/>
    <w:qFormat/>
    <w:rPr>
      <w:sz w:val="24"/>
      <w:szCs w:val="24"/>
    </w:rPr>
  </w:style>
  <w:style w:type="character" w:styleId="FollowedHyperlink">
    <w:name w:val="FollowedHyperlink"/>
    <w:rPr>
      <w:color w:val="954F72"/>
      <w:u w:val="single"/>
    </w:rPr>
  </w:style>
  <w:style w:type="character" w:styleId="NagwekZnak">
    <w:name w:val="Nagłówek Znak"/>
    <w:basedOn w:val="Domylnaczcionkaakapitu"/>
    <w:qFormat/>
    <w:rPr/>
  </w:style>
  <w:style w:type="character" w:styleId="Nagwek2Znak">
    <w:name w:val="Nagłówek 2 Znak"/>
    <w:qFormat/>
    <w:rPr>
      <w:rFonts w:eastAsia="MS Gothic;ＭＳ ゴシック" w:cs="Times New Roman"/>
      <w:b/>
      <w:szCs w:val="26"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Nagwek9Znak">
    <w:name w:val="Nagłówek 9 Znak"/>
    <w:qFormat/>
    <w:rPr>
      <w:rFonts w:ascii="Calibri Light" w:hAnsi="Calibri Light" w:eastAsia="Times New Roman" w:cs="Times New Roman"/>
      <w:sz w:val="22"/>
      <w:szCs w:val="22"/>
    </w:rPr>
  </w:style>
  <w:style w:type="character" w:styleId="TekstprzypisudolnegoZnak">
    <w:name w:val="Tekst przypisu dolnego Znak"/>
    <w:qFormat/>
    <w:rPr>
      <w:rFonts w:ascii="Times New Roman" w:hAnsi="Times New Roman" w:cs="Times New Roman"/>
    </w:rPr>
  </w:style>
  <w:style w:type="character" w:styleId="Znakiprzypiswdolnych">
    <w:name w:val="Znaki przypisów dolnych"/>
    <w:qFormat/>
    <w:rPr>
      <w:rFonts w:cs="Times New Roman"/>
      <w:vertAlign w:val="superscript"/>
    </w:rPr>
  </w:style>
  <w:style w:type="character" w:styleId="PodtytuZnak">
    <w:name w:val="Podtytuł Znak"/>
    <w:qFormat/>
    <w:rPr>
      <w:rFonts w:eastAsia="Times New Roman"/>
      <w:color w:val="5A5A5A"/>
      <w:spacing w:val="15"/>
    </w:rPr>
  </w:style>
  <w:style w:type="character" w:styleId="PodtytuZnak1">
    <w:name w:val="Podtytuł Znak1"/>
    <w:qFormat/>
    <w:rPr>
      <w:rFonts w:ascii="Calibri Light" w:hAnsi="Calibri Light" w:eastAsia="Times New Roman" w:cs="Times New Roman"/>
      <w:sz w:val="24"/>
      <w:szCs w:val="24"/>
    </w:rPr>
  </w:style>
  <w:style w:type="character" w:styleId="AkapitzlistZnak">
    <w:name w:val="Akapit z listą Znak"/>
    <w:qFormat/>
    <w:rPr>
      <w:sz w:val="24"/>
      <w:szCs w:val="24"/>
    </w:rPr>
  </w:style>
  <w:style w:type="character" w:styleId="TekstprzypisukocowegoZnak">
    <w:name w:val="Tekst przypisu końcowego Znak"/>
    <w:qFormat/>
    <w:rPr/>
  </w:style>
  <w:style w:type="character" w:styleId="Znakiprzypiswkocowych">
    <w:name w:val="Znaki przypisów końcowych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Mapadokumentu">
    <w:name w:val="Mapa dokumentu"/>
    <w:basedOn w:val="Normal"/>
    <w:qFormat/>
    <w:pPr>
      <w:shd w:fill="000080" w:val="clear"/>
    </w:pPr>
    <w:rPr>
      <w:rFonts w:ascii="Tahoma" w:hAnsi="Tahoma" w:cs="Tahoma"/>
      <w:sz w:val="20"/>
      <w:szCs w:val="20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Akapitzlist">
    <w:name w:val="Akapit z listą"/>
    <w:basedOn w:val="Normal"/>
    <w:qFormat/>
    <w:pPr>
      <w:spacing w:before="360" w:after="360"/>
      <w:ind w:hanging="0" w:start="720" w:end="0"/>
      <w:contextualSpacing/>
    </w:pPr>
    <w:rPr/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</w:rPr>
  </w:style>
  <w:style w:type="paragraph" w:styleId="Poprawka">
    <w:name w:val="Poprawka"/>
    <w:qFormat/>
    <w:pPr>
      <w:widowControl/>
      <w:bidi w:val="0"/>
    </w:pPr>
    <w:rPr>
      <w:rFonts w:ascii="Calibri" w:hAnsi="Calibri" w:eastAsia="Times New Roman" w:cs="Times New Roman"/>
      <w:color w:val="auto"/>
      <w:sz w:val="24"/>
      <w:szCs w:val="24"/>
      <w:lang w:val="pl-PL" w:bidi="ar-SA" w:eastAsia="zh-CN"/>
    </w:rPr>
  </w:style>
  <w:style w:type="paragraph" w:styleId="Default">
    <w:name w:val="Default"/>
    <w:qFormat/>
    <w:pPr>
      <w:widowControl/>
      <w:autoSpaceDE w:val="false"/>
      <w:bidi w:val="0"/>
    </w:pPr>
    <w:rPr>
      <w:rFonts w:ascii="Arial" w:hAnsi="Arial" w:eastAsia="Times New Roman" w:cs="Arial"/>
      <w:color w:val="000000"/>
      <w:sz w:val="24"/>
      <w:szCs w:val="24"/>
      <w:lang w:val="pl-PL" w:bidi="ar-SA" w:eastAsia="zh-CN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Times New Roman" w:hAnsi="Times New Roman" w:cs="Times New Roman"/>
      <w:sz w:val="20"/>
      <w:szCs w:val="20"/>
    </w:rPr>
  </w:style>
  <w:style w:type="paragraph" w:styleId="Podtytu1">
    <w:name w:val="Podtytuł1"/>
    <w:basedOn w:val="Normal"/>
    <w:next w:val="Normal"/>
    <w:qFormat/>
    <w:pPr>
      <w:numPr>
        <w:ilvl w:val="0"/>
        <w:numId w:val="0"/>
      </w:numPr>
      <w:spacing w:lineRule="auto" w:line="278" w:before="0" w:after="160"/>
      <w:ind w:hanging="0" w:start="0" w:end="0"/>
    </w:pPr>
    <w:rPr>
      <w:rFonts w:ascii="Aptos" w:hAnsi="Aptos" w:eastAsia="Times New Roman" w:cs="Times New Roman"/>
      <w:color w:val="5A5A5A"/>
      <w:spacing w:val="15"/>
    </w:rPr>
  </w:style>
  <w:style w:type="paragraph" w:styleId="Subtitle">
    <w:name w:val="Subtitle"/>
    <w:basedOn w:val="Normal"/>
    <w:next w:val="Normal"/>
    <w:qFormat/>
    <w:pPr>
      <w:spacing w:before="360" w:after="60"/>
      <w:jc w:val="center"/>
      <w:outlineLvl w:val="1"/>
    </w:pPr>
    <w:rPr>
      <w:color w:val="5A5A5A"/>
      <w:spacing w:val="15"/>
      <w:sz w:val="20"/>
      <w:szCs w:val="20"/>
    </w:rPr>
  </w:style>
  <w:style w:type="paragraph" w:styleId="EndnoteText">
    <w:name w:val="endnote text"/>
    <w:basedOn w:val="Normal"/>
    <w:pPr/>
    <w:rPr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  <w:style w:type="numbering" w:styleId="WW8Num42">
    <w:name w:val="WW8Num42"/>
    <w:qFormat/>
  </w:style>
  <w:style w:type="numbering" w:styleId="WW8Num43">
    <w:name w:val="WW8Num43"/>
    <w:qFormat/>
  </w:style>
  <w:style w:type="numbering" w:styleId="WW8Num44">
    <w:name w:val="WW8Num44"/>
    <w:qFormat/>
  </w:style>
  <w:style w:type="numbering" w:styleId="WW8Num45">
    <w:name w:val="WW8Num45"/>
    <w:qFormat/>
  </w:style>
  <w:style w:type="numbering" w:styleId="WW8Num46">
    <w:name w:val="WW8Num46"/>
    <w:qFormat/>
  </w:style>
  <w:style w:type="numbering" w:styleId="WW8Num47">
    <w:name w:val="WW8Num47"/>
    <w:qFormat/>
  </w:style>
  <w:style w:type="numbering" w:styleId="WW8Num48">
    <w:name w:val="WW8Num48"/>
    <w:qFormat/>
  </w:style>
  <w:style w:type="numbering" w:styleId="WW8Num49">
    <w:name w:val="WW8Num49"/>
    <w:qFormat/>
  </w:style>
  <w:style w:type="numbering" w:styleId="WW8Num50">
    <w:name w:val="WW8Num50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3">
    <w:name w:val="WW8Num5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161</TotalTime>
  <Application>LibreOffice/25.8.5.2$Windows_X86_64 LibreOffice_project/9c8b85f387cc00a89945a79c9e6239f32e450ac2</Application>
  <AppVersion>15.0000</AppVersion>
  <Pages>5</Pages>
  <Words>1588</Words>
  <Characters>10762</Characters>
  <CharactersWithSpaces>12151</CharactersWithSpaces>
  <Paragraphs>117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2024-06-17T08:59:00Z</dcterms:created>
  <dc:creator>Biuro</dc:creator>
  <dc:description/>
  <cp:keywords/>
  <dc:language>pl-PL</dc:language>
  <cp:lastModifiedBy>Sławomir Kozieł</cp:lastModifiedBy>
  <cp:lastPrinted>2018-03-26T11:55:00Z</cp:lastPrinted>
  <dcterms:modified xsi:type="dcterms:W3CDTF">2026-04-25T20:07:00Z</dcterms:modified>
  <cp:revision>26</cp:revision>
  <dc:subject/>
  <dc:title>Załącznik nr 1 OPZ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0x010100D98E4BE26503C343A8433A76FA809E23_x0000__x0000__x0000_</vt:lpwstr>
  </property>
  <property fmtid="{D5CDD505-2E9C-101B-9397-08002B2CF9AE}" pid="3" name="MediaServiceImageTags">
    <vt:lpwstr>_x0000__x0000__x0000_</vt:lpwstr>
  </property>
  <property fmtid="{D5CDD505-2E9C-101B-9397-08002B2CF9AE}" pid="4" name="TaxCatchAll">
    <vt:lpwstr>_x0000__x0000__x0000_</vt:lpwstr>
  </property>
  <property fmtid="{D5CDD505-2E9C-101B-9397-08002B2CF9AE}" pid="5" name="lcf76f155ced4ddcb4097134ff3c332f">
    <vt:lpwstr>_x0000__x0000__x0000_</vt:lpwstr>
  </property>
</Properties>
</file>